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18.12.2020, оставленным без изменения постановлением Тринадцатого арбитражного апелляционного суда от 24.03.2021 и постановлением Арбитражного суда Северо-Западного округа от 23.06.2021, заявление удовлетворено. В кассационной жалобе Попович К.А. просит об отмене судебных актов, ссылаясь на пропуск срока исковой давности для оспаривания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перечисления спорной суммы и признали их создающими условия для недействительности сделок в силу пункта 2 статьи 61.2 Федерального закона от 26.10.2002 № 127-ФЗ «О несостоятельности (банкротстве)». Довод о сроке исковой давности получил правовое обоснование.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Попович Ксении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