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спора определением Арбитражного суда города Москвы от 01.12.2020, оставленным без изменения постановлением Девятого арбитражного апелляционного суда от 19.03.2021 и постановлением Арбитражного суда Московского округа от 12.07.2021, заявление удовлетворено. В кассационной жалобе Федоров С.В. просит о пересмотре судебных актов, ссылаясь на проверку реальности займа при рассмотрении требования о включении задолженности в реестр, предоставление денежных средств на личные в цели в период отсутствия института банкротства граждан.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включение требования в реестр должника не препятствует признанию сделки, из которой оно возникло, недействительной как выходящей за содержащиеся в статье 10 Гражданского кодекса Российской Федерации пределы осуществления гражданских прав. Предоставление займа на личные цели опровергается установленной судами фактической взаимосвязанностью сторон сделки через участие во взаимосвязанных обществах.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Федорову Станиславу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