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23.12.2020, оставленным без изменения постановлением Девятого арбитражного апелляционного суда от 05.03.2021 и постановлением Арбитражного суда Московского округа от 30.06.2021, заявление удовлетворено. В кассационной жалобе общество просит о пересмотре судебных актов, ссылаясь на отсутствие у спора материально-правового характера в качестве основания для отказа в возмещении издержек по правилу статьи 110 Арбитражного процессуального кодекса Российской Федерации.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Обоснованием права на возмещение понесенных в связи с рассмотрением обособленного спора в деле о банкротстве издержек является примененное апелляционным судом постановление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(пункт 18).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«Экспотрейд»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