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29.12.2020, оставленным без изменения постановлением Девятнадцатого арбитражного апелляционного суда от 26.03.2021 и постановлением Арбитражного суда Центрального округа от 03.08.2021, исковые требования удовлетворены.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истцом товара на спорную сумму и неисполнения ответчиком обязанности по его оплате, руководствуясь статьями 309, 310, 329, 330, 431, 476, 506, 516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заявителя о поставке товара ненадлежащего качества были предметом рассмотрения судов и мотивированно отклонены. Изложенные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«ЭкоМолКорм»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