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02.02.2021, оставленным без изменения постановлением Тринадцатого арбитражного апелляционного суда от 26.04.2021 и постановлением Арбитражного суда Северо-Западного округа от 05.08.2021, исковые требования удовлетворены. В кассационной жалобе, поданной в Верховный Суд Российской Федерации, общество, ссылаясь на несоответствие выводов судов фактическим обстоятельствам дела, просит отменить указанные судебные акты и направить дело на новое рассмотрение в суд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отсутствие доказательств выполнения обществом (подрядчик) работ и передачи их результата компании (заказчик) на сумму полученных им денежных средств по договору подряда от 01.03.2018 № 1, признав правомерным отказ заказчика от исполнения названного договора, руководствуясь статьями 309 , 310 , 330 , 395 , 702 , 708 , 711 , 715 , 1102 Гражданского кодекса Российской Федерации, суды первой и апелляционной инстанций пришли к выводу о наличии оснований для удовлетворения исковых требований, с чем впоследствии согласился суд округа. Доводы заявителя, в том числе о получении истцом исполнения по договору, были предметом рассмотрения судов и мотивированно отклонены.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«Кон-Тики»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Судьи дела: Чучунова Н.С.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