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городского имущества города Москвы обратился в Арбитражный суд города Москвы с иском к общества с ограниченной ответственностью «Фирма «Кафрез» (далее - общество) о взыскании 723 780 руб. 63 коп. долга по договору купли-продажи недвижимости, 5 479 576 руб. 50 коп. неустойки. Решением Арбитражного суда города Москвы от 27.02.2020, оставленным без изменения постановлением Девятого арбитражного апелляционного суда от 05.08.2020 и постановлением Арбитражного суда Московского округа от 04.12.2020, исковые требования удовлетворены. Общество обратилось в арбитражный суд с заявлением о пересмотре решения суда от 27.02.2020 по вновь открывшимся обстоятельствам, ссылаясь на то, что не было извещено о судебном процессе в связи с нарушением акционерным обществом «Почта России» правил почтовой связи. Определением Арбитражного суда города Москвы от 15.02.2021, оставленным без изменения постановлением Девятого арбитражного апелляционного суда от 13.05.2021 и постановлением Арбитражного суда Московского округа от 05.08.2021, в удовлетворении заявления отказано. 2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доводов кассационной жалобы и обжалуемых судебных актов не установлено. Отказывая в удовлетворении заявления общества, суды руководствовались положениями статей 309, 311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исходили из того, что приведенные заявителем обстоятельства не являются вновь открывшимися, а направлены на пересмотр вступившего в законную силу судебного акта в неустановленном законом порядке. Доводы кассационной жалобы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«Фирма «Кафрез»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