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17.02.2021, оставленным без изменения постановлением Одиннадцатого арбитражного апелляционного суда от 22.04.2021 и постановлением Арбитражного суда Поволжского округа от 05.08.2021, в удовлетворении иска отказано. В кассационной жалобе, поданной в Верховный Суд Российской Федерации, общество, ссылаясь на нарушение судами норм права, несоответствие их выводов фактическим обстоятельствам дела, просит 2 отменить указанные судебные акты и направить дело на новое рассмотрение в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отсутствие доказательств передачи ответчику в рамках договора аренды объекта, оснащенного системой пожаротушения, как и доказательств приобретения истцом спорного оборудования, признав подтвержденным факт того, что демонтированное оборудование установлено самим ответчиком, является его собственностью и отделимыми улучшениями, руководствуясь статьями 15, 393, 622, 623 Гражданского кодекса Российской Федерации, суды первой и апелляционной инстанций не усмотрели оснований для удовлетворения иска, с чем впоследствии согласился суд округа.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«Торговые ряды «Нариманова 40»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