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03.12.2020, оставленным без изменения постановлением Девятого арбитражного апелляционного суда от 11.03.2021, в удовлетворении иска отказано. Арбитражный суд Московского округа постановлением от 07.07.2021 решение от 03.12.2020 и постановление апелляционного суда от 11.03.2021 оставил без изменения. В кассационной жалобе общество «Разрез Кийзасский» просит об отмене судебных актов, ссылаясь на неправомерность ссылки судов на отсутствие договорного условия о сроке нахождения вагонов под выгрузкой при наличии законодательно установленного временного периода оборота подвижного состава.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перед владельцем вагонов истец понес ответственность за свое нарушение, которая не может быть переложена на ответчика, не допустившего в качестве необходимого условия взыскания убытков по правилам статей 15, 393 Гражданского кодекса Российской Федерации нарушения договора от 10.05.2018 № РК-КВУ-2РК-П. Иное видение правоотношений сторон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«Разрез Кийзасский»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