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10.11.2020, оставленным без изменения постановлением Тринадцатого арбитражного апелляционного суда от 24.03.2021, два договора купли-продажи квартир от 05.04.2018, заключенные должником с Ивановой И.В., признаны недействительными с обязанием Ивановой И.В. вернуть квартиры в конкурсную массу должника. Арбитражный суд Северо-Западного округа постановлением от 28.06.2021 определение от 10.11.2020 и постановление Тринадцатого арбитражного апелляционного суда от 24.03.2021 оставил без изменения. В кассационной жалобе Иванова И.В. просит об отмене судебных актов, ссылаясь на отсутствие законных условий для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совершения сделок и установили отчуждение объектов недвижимости (двух квартир) в период подозрительности, безвозмездно в пользу лица, не имеющего возможности оплатить приобретаемое имущество и осведомленного в силу семейных связей о наличии у продавца кредиторов – обстоятельства, составляющие согласно пункту 2 статьи 61.2 Федерального закона от 26.10.2002 № 127-ФЗ «О несостоятельности (банкротстве)» условия для недействительности сделок. Иная оценка заявителем установленных обстоятельств спора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И.В.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