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Ханты-Мансийского автономного округа – Югры от 21.10.2020 требование налогового органа на сумму в 54 879 583 рублей 90 копеек включено в третью очередь реестра требований кредиторов должника. Восьмой арбитражный апелляционный суд постановлением от 17.02.2021 изменил определение от 21.10.2020, включив в третью очередь реестра требований кредиторов должника требование налогового органа на сумму в 54 874 469 рублей 70 копеек. Арбитражный суд Западно-Сибирского округа постановлением от 21.06.2021 постановление Восьмого арбитражного апелляционного суда от 17.02.2021 оставил без изменения. В кассационной жалобе предприниматель просит об отмене судебных актов, ссылаясь на ошибку в расчете, подтвержденную признанием налогового 2 органа в апелляционной инстанции, необоснованный отказ в назначении бухгалтерской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признали доказанным наличие у должника задолженности по уплате налогов и сборов, поэтому удовлетворили заявление налогового органа в соответствии со статьями 71, 100 Федерального закона от 26.10.2002 № 127-ФЗ «О несостоятельности (банкротстве)» и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Довод заявителя об ошибках в расчете был рассмотрен апелляционным судом, уменьшившим размер подлежащего включению в реестр требования.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Гнётову М.В.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