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18.12.2020, оставленным без изменения постановлением Девятого арбитражного апелляционного суда от 13.04.2021 и постановлением Арбитражного суда Московского округа от 03.08.2021,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соответствующий арбитражный суд.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ненадлежащее исполнение обществом (арендатор) обязанности по оплате пользования арендованными по спорному договору транспортными средствами в заявленный период, руководствуясь статьями 309, 310, 395, 606, 614, 642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приведенные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«Усть-СреднеканГЭСстрой»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