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Одиннадцатого арбитражного апелляционного суда от 26.04.2021, оставленным без изменения постановлением Арбитражного суда Поволжского округа от 22.06.2021, в удовлетворении ходатайства о восстановлении срока на подачу апелляционной жалобы отказано. В кассационной жалобе Ямалов В.Р. просит об отмене судебных актов апелляционного и окружного судов, ссылаясь на несоблюдение органом почтовой связи срока хранения судебной корреспонденции и необоснованный отказ в восстановлении срока на обжалование.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Апелляционный суд установил извещение заявителя по месту жительства о рассмотрении спора и подачу им апелляционной жалобы за пределами срока на обращение с ходатайством о восстановлении срока на обжалование, исключающую в силу статей 17, части 2 статьи 259 Арбитражного процессуального кодекса Российской Федерации восстановление срока независимо от причины его пропуска.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Ямалову В.Р.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