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Амурской области от 16.02.2021, оставленным без изменения постановлением Шестого арбитражного апелляционного суда от 19.04.2021 и постановлением Арбитражного суда Дальневосточного округа от 28.06.2021, в удовлетворении заявления отказано. В кассационной жалобе Васильева В.В. просит об отмене судебных актов, ссылаясь на неприменение преюдиции в отношении оценки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учитывая ранее установленные в деле о банкротстве обстоятельства, признали экономическую взаимозависимость должника и заявителя и общность их денежных средств, при которых в силу статей 16, 71, 100, 213.24 Федерального закона от 26.10.2002 № 127-ФЗ «О несостоятельности (банкротстве)» и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требования не являются обоснованными и не подлежат включению в реестр.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Васильевой В.В.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