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29.12.2020 в третью очередь реестра включено требование на заявленные суммы как обеспеченное четырьмя из семи заявленных объектов недвижимого имущества. Восемнадцатый арбитражный апелляционный суд постановлением от 23.03.2021 и Арбитражный суд Уральского округа постановлением от 05.07.2021 оставили определение от 29.12.2020 без изменения. В кассационной жалобе общество «Кордиант» просит об отмене судебных актов в отношении трех объектов, ссылаясь на недопустимость игнорирования установленного судом обременения.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вопросе установления залогового характера заявленных к должнику требований суды правомерно руководствовались приоритетом норм Федерального закона от 26.10.2002 № 127-ФЗ «О несостоятельности (банкротстве)». Доводы жалобы были предметом рассмотрения судов и отклонены с правовым обоснованием.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акционерного общества «Кордиант»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