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20.01.2021 в иске отказано. Постановлением Девятнадцатого арбитражного апелляционного суда от 20.05.2021 решение отменено, иск удовлетворен частично. Постановлением Арбитражного суда Центрального округа от 06.08.2021 постановление апелляционного суда отменено, решение оставлено в силе. В кассационной жалобе общество просит отменить решение и постановление окружного суда, ссылаясь на взаимоисключающие основания для отказа в иске.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по результату исследования представленных доказательств установил перечисление денежных средств в ситуации заведомо известного сторонам отсутствия обязательства, попадающее под предусмотренный примененной статьей 1109 Гражданского кодекса Российской Федерации случай, при котором неосновательное обогащение возврату не подлежит. При отсутствии у суда апелляционной инстанции оснований для иных выводов в отношении тех же доказательств окружной суд отменил апелляционное постановление в соответствии с компетенцией, предусмотренной статьями 286,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«Монтажная организация «Электропромсервис»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