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Вологодской области от 18.12.2020, оставленным без изменения постановлением Четырнадцатого арбитражного апелляционного суда от 09.03.2021 и постановлением Арбитражного суда Северо-Западного округа от 22.06.2021, требования к обществу «СтальПартнер» удовлетворены, в иске к обществу «Северсталь» отказано. В кассационной жалобе общество «СтальПартнер» просит об отмене судебных актов как основанных на ненадлежащем заключении экспертизы при необоснованном отказе в назначении повторной.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«СтальПартнер»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