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29.06.2020 иск удовлетворен. Постановлением Пятого арбитражного апелляционного суда от 09.12.2020 решение суда первой инстанции изменено, с корпорации в пользу общества взыскано 423 466 руб. неустойки, в удовлетворении остальной части иска отказано. Постановлением Арбитражного суда Дальневосточного округа от 31.03.2021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апелляционным и окружным судами норм материального и процессуального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и протолковав условия заключенного сторонами договора, суд апелляционной инстанции пришел к выводу о том, что обществу (заказчик) надлежало исчислять неустойку исходя из стоимости невыполненных корпорацией (генеральный подрядчик) работ по этапу в предусмотренные графиком производства работ сроки. При таких обстоятельствах, не установив вины корпорации в допущенной просрочке выполнения работ по этапам №№ 4, 5, 7, 11, 14, суд произвел перерасчет неустойки и, руководствуясь статьями 309 , 310 , 329 , 330 , 401 , 404 , 421 , 422 , 431 , 702 , 708 , 718 , 740 Гражданского кодекса Российской Федерации, удовлетворил иск частично, с чем впоследствии согласился суд округа. Довод заявителя о нарушении апелляционным судом норм процессуального права, выразившегося в приобщении к материалам дела дополнительных доказательств, был предметом исследования и оценки суда округа и мотивировано отклонен. Доводы кассационной жалобы не опровергают выводы апелляционного и окружного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«Ареал-Недвижимость»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"Ареал-Недвижимость" (подробнее) Ответчики: ООО Корпорация "Сибинжиниринг" (подробнее) Судьи дела: Чучунова Н.С. (судья) (подробнее) Судебная практика по: По договору подряда Судебная практика по применению норм ст. 702, 703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