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Кировской области от 12.10.2020 в удовлетворении иска отказано. Постановлением Второго арбитражного апелляционного суда от 19.02.2021, оставленным без изменения постановлением Арбитражного суда Волго-Вятского округа от 25.06.2021, решение отменено, иск удовлетворен. В кассационной жалобе предприниматель просит отменить судебные акты апелляционного и окружного судов, ссылаясь на недоказанность причинно-следственной связи убытков с действиями ответчика.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Причинно-следственная связь в качестве условия, необходимого в силу статей 15 , 1064 Гражданского кодекса Российской Федерации для взыскания убытков, между осуществлением предпринимателем незаконных перевозок по закрепленному за обществом маршруту и получением причитающегося обществу дохода, установлена апелляционным судом по итогу исследования правоотношений и не подлежат пересмотру в связи с доводами жалобы в порядке кассационного производства.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Судьи дела: Ксенофонтова Н.А.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