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27.11.2020, оставленным без изменения постановлением Десятого арбитражного апелляционного суда от 07.04.2021 и постановлением Арбитражного суда Московского округа от 02.07.2021, в удовлетворении жалобы отказано. В кассационной жалобе Быковская С.А. просит об отмене судебных актов, ссылаясь на незаконную оценку деятельности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установили, что финансовый управляющий по требованию должника представил сведения о полученном от использования имущества доходе, необходимые для заполнения налоговой декларации, подача которой является обязанностью налогоплательщика (должника). Деятельность финансового управляющего оценена применительно к доводам должника и статьям 20.3, 83, 213.9 Федерального закона от 26.10.2002 № 127-ФЗ «О несостоятельности (банкротстве)» и признана надлежащей. Иное видение должником обязанностей управляющего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Быковской Светлане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