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02.02.2021, оставленным без изменения постановлением Девятого арбитражного апелляционного суда от 14.04.2021, в удовлетворении иска отказано. Арбитражный суд Московского округа постановлением от 05.07.2021 решение от 02.02.2021 и постановление Девятого арбитражного апелляционного суда от 14.04.2021 оставил без изменения. В кассационной жалобе общество «Европа» просит об отмене судебных актов, ссылаясь на необходимость применения законных последствий 2 прекращения договора лизинга независимо от согласованных сторонами последствий такового. В соответствии с положениями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прекращение договора лизинга от 01.07.2019 № 2131694-ФЛ/МБУ19 по соглашению сторон и проведение расчетов взаимных обязательств в соответствии с его условиями, вследствие чего не признали наличия на стороне ответчика неосновательного обогащения. По вопросу о соотношении договорных и установленных постановлением Пленума Высшего Арбитражного Суда Российской Федерации от 14.03.2014 № 17 «Об отдельных вопросах, связанных с договором выкупного лизинга» последствий расторжения договора в пользу первых суды руководствовались статьями 407, 421, 450, 452, 453 Гражданского кодекса Российской Федерации и их судебным толкованием.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