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17.12.2020, оставленным без изменения постановлением Девятого арбитражного апелляционного суда от 12.04.2021 и постановлением Арбитражного суда Московского округа от 18.06.2021, первоначальный иск удовлетворен, во встречном иске отказано. В кассационной жалобе предприятие просит об отмене судебных актов как не соответствующих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определили взаимные обязательства сторон в связи с расторжением договора лизинга в порядке, предусмотренном постановлением Пленума Высшего Арбитражного Суда Российской Федерации от 14.03.2014 № 17 «Об отдельных вопросах, связанных с договором выкупного лизинга», с применением которого согласны стороны обязательства.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«Негосударственное (частное) охранное предприятие «ЗАПСИБ-СЕКЬЮРИТИ»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