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«Домком» обратилось в Арбитражный суд Красноярского края с иском о взыскании с общества с ограниченной ответственностью «Ситипэй» 2 200 179 рублей 44 копеек задолженности по договору от 03.06.2013 № ПП466 о приеме платежей и 2 013 728 рублей 12 копеек договорной неустойки. Решением Арбитражного суда Красноярского края от 01.02.2021 иск удовлетворен. Постановлением Третьего арбитражного апелляционного суда от 16.04.2021 решение суда первой инстанции оставлено без изменения. Арбитражный суд Восточно-Сибирского округа постановлением от 05.08.2021 указанные судебные акты оставил без изменения. Общество с ограниченной ответственностью «Ситипэй» обратилось в Судебную коллегию Верховного Суда Российской Федерации с кассационной жалобой на принятые по делу судебные акты в части взыскания договорной неустойки,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исходя из буквального толкования условий договора, учитывая признание ответчиком факта наличия задолженности, нарушение установленных договором сроков оплаты, руководствуясь статьями 309, 310, 329, 330, 421, 779, 781, 783 Гражданского кодекса Российской Федерации, суды пришли к выводу о наличии оснований для удовлетворения иска.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Доводы жалобы о неправомерном начислении неустойки на основании пункта 3.4 договора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«Ситипэй»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