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26.11.2020, оставленным без изменения постановлением Восьмого арбитражного 2 апелляционного суда от 26.03.2021, в удовлетворении заявленных требований отказано. Постановлением Арбитражного суда Западно-Сибирского округа от 09.08.2021 указанные судебные акты оставлены без изменения. Общество просит отменить обжалуемые судебные акты, заявленные требования удовлетворить.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182, 194, 200, 204 Налогового кодекса Российской Федерации,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постановления Правительства Российской Федерации от 12.11.2002 № 814 «О Порядке утверждения норм естественной убыли при хранении и транспортировке товарно-материальных ценностей», ведомственных отраслевых нормативных правовых актов, суды отказали в удовлетворении заявленного требования, признав правомерными 3 произведенные налоговым органом доначисления сумм акциза на алкогольную продукцию, пеней и штрафа. Приведенные в жалобе доводы получили исчерпывающую правовую оценку в обжалуемых судебных актах, с учетом установленных обстоятельств, свидетельствующих о не подтверждении налогоплательщиком права на уменьшение суммы акциза на вычеты, приходящиеся на объемы технологических потерь и естественной убыли,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