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01.02.2021, оставленным без изменения постановлением Двенадцатого арбитражного 2 апелляционного суда от 20.04.2021, оспариваемое постановление изменено в части назначения административного наказания, штраф снижен до 150 000 рублей. Постановлением Арбитражного суда Поволжского округа от 05.08.2021 указанные судебные акты оставлены без изменения. Предприниматель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использование предпринимателем для осуществления регулярных перевозок пассажиров транспортного средства при отсутствии карты маршрута регулярных перевозок, наличие которой является обязательным. Частью 4 статьи 11.33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Оценив представленные доказательства, руководствовался положениями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суды пришли к выводу о наличии в действиях предпринимателя состава правонарушения, ответственность за совершение которого предусмотрена частью 4 статьи 11.33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административное наказание в виде штрафа снижено судом ниже низшего размера санкции нормы. 3 Доводы жалобы были предметом исследования судов и получили исчерпывающую правовую оценку с учетом конкретных установленных обстоятельств, свидетельствующих об использовании предпринимателем транспортного средства для осуществления регулярных перевозок пассажиров, не согласиться с которой по доводам жалобы оснований не имеется. При этом суды исходили из того, что в рассматриваемом случае имел место факт непосредственного обнаружения должностным лицом, уполномоченным составлять протокол об административном правонарушении, в ходе проведения планового (рейдового) осмотра достаточных данных, указывающих на наличие события административного правонарушения. Вопреки доводам жалобы из смысла статей 26.1 и 26.2 Кодекса Российской Федерации об административных правонарушениях следует, что обстоятельства, имеющие отношение к делу об административном правонарушении, устанавливаются путем исследования доказательств, к которым относятся любые фактические данные, полученные в предусмотренных законом формах, на основании которых судья, орган, должностное лицо, в производстве которого находится дело, определяет наличие или отсутствие события административного правонарушения, а также виновность лица, привлекаемого к административной ответственности.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