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15.02.2021, оставленным без изменения постановлением Десятого арбитражного апелляционного суда от 22.04.2021 и постановлением Арбитражного суда Московского округа от 03.08.2021, исковые требования удовлетворены. В кассационной жалобе, поданной в Верховный Суд Российской Федерации, фонд,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предусмотренное договором право комитета (арендодатель) на его досрочное расторжение, в том числе в случае использования имущества не в соответствии с целевым назначением, установив, что фонд (арендатор) нарушил условия об использовании имущества – произвел без согласования с арендодателем перепланировку (переустройство) арендуемого помещения и использует его не в соответствии с целевым назначением, суды первой и апелляционной инстанций пришли к выводу о доказанности существенного нарушения фондом условий договора и, руководствуясь статьями 309, 310, 450, 606, 615, 619, 622 Гражданского кодекса Российской Федерации, удовлетворили исковые требования, с чем впоследствии согласился суд округа. Доводы заявителя о его ненадлежащем извещении судом первой инстанции о судебном процессе были предметом рассмотрения апелляционного и окружного судов и получили правовую оценку.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регионального общественного фонда «Содействие деятельности в сфере физической культуры и массового спорта в Московской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