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26.02.2021, оставленным без изменения постановлением Двадцатого арбитражного апелляционного суда от 19.05.2021 и постановлением Арбитражного суда Центрального округа от 12.08.2021, с общества в пользу компании взыскано 1 182 420 руб.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сроков выполнения работ по договору, руководствуясь статьями 307, 309, 310, 329, 330, 702, 708, 720, 753 Гражданского кодекса Российской Федерации, разъяснениями, изложенными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правомерности начисления истцом пеней в соответствии с пунктом 6.2 договора и, определив период их начисления и произведя перерасчет, принимая во внимание заявление общества о применении статьи 333 Гражданского кодекса Российской Федерации, снизили размер пеней и удовлетворили иск частично.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приведенные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«Осколлокомотивсервис»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