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26.03.2021 в удовлетворении заявления отказано. Постановлением Девятого арбитражного апелляционного суда от 15.06.2021, оставленным без изменения постановлением Арбитражного суда Московского округа от 16.09.2021, определение от 26.03.2021 отменено, заявление удовлетворено. В кассационных жалобах заявители просят об отмене судебных актов апелляционного и окружного судов, ссылаясь на ненадлежащее исследование обстоятельств заключения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безвозмездное отчуждение должником имущества в пользу сына при неисполненных перед кредиторами денежных обязательствах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Окорокову Николаю Александровичу и Окорокову Николаю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