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27.11.2020 в удовлетворении заявления отказано. Постановлением Восемнадцатого арбитражного апелляционного суда от 11.05.2021 определение от 27.11.2020 отменено, требования Мелконян А.Г. удовлетворены. Постановлением Арбитражного суда Уральского округа от 30.07.2021 определение и постановление апелляционного суда отменены, заявление направлено на новое рассмотрение в суд первой инстанции. В кассационной жалобе Мелконян А.Г. просит отменить постановление окружного суда, ссылаясь на неосновательную подмену порядка внесения изменений в реестр пересмотром судебного акта по вновь открывшимся обстоятельствам.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нижестоящих инстанций при рассмотрении заявления не установили соотношения норм Федерального закона от 26.10.2002 № 127-ФЗ «О несостоятельности (банкротстве)» с нормами Арбитражного процессуального кодекса Российской Федерации, для определения применения которых признал необходимость нового рассмотрения заявления в пределах предусмотренных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Мелконян Аревик Гарниковне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