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05.03.2021, оставленным без изменения постановлением Четвертого арбитражного апелляционного суда от 21.06.2021 и постановлением Арбитражного суда Восточно-Сибирского округа от 14.09.2021, в удовлетворении заявления отказано. В кассационной жалобе заявители просят об отмене судебных актов, ссылаясь на отсутствие оценки их доводам о нереальном характере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на которые заявители ссылаются в обоснование нереального характера займа, исследованы судами при рассмотрении требования о взыскании займа и включении основанных на договоре займа требований в реестр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«АСП» и Котову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