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«Центр-Транс» (далее – общество «Центр-Транс») обратилось в суд с исковым заявлением к обществу «Еврострой» о взыскании неосновательного обогащения в размере 2 078 234 рубля 63 копейки, 288 550 рублей 63 копейки процентов за пользование чужими денежными средствами за период с 18.07.2017 по 11.07.2019 с последующим начислением по дату фактического исполнения обязательства. Впоследствии для совместного рассмотрения принято к производству встречное исковое заявление общества «Еврострой» к обществу «ЦентрТранс» о взыскании стоимости уступленного права требования к третьему лицу в размере 4 854 363 рубля 62 копейки, процентов за пользование чужими денежными средствами в размере 70 388 рублей 27 копеек. Решением Арбитражного суда города Москвы от 01.03.2021 первоначальный иск удовлетворён полностью, встречный иск удовлетворён частично. В результате произведенного зачёта с общества «Центр-Транс» в пользу общества «Еврострой» взыскан долг в размере 2 510 825 рублей 54 копейки. Постановлением Девятого арбитражного апелляционного суда от 14.05.2021, оставленным без изменения постановлением Арбитражного суда Московского округа от 03.08.2021, отменено решение суда первой инстанции 2 от 01.03.2021 в части удовлетворения встречного иска, в части отказа во взыскании процентов за пользование чужими денежными средствами, начисленных с 20.08.2019 до момента фактического исполнения денежного обязательства по первоначальному иску, в части произведенного судом зачёта. С общества «Еврострой» в пользу общества «Центр-Транс» взысканы проценты за пользование чужими денежными средствами, начисленные с 20.08.2019 до момента фактического исполнения денежного обязательства, отказано в удовлетворении встречного иска общества «Еврострой», в остальной части решение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решение суда первой инстанции и разрешая спор, апелляционный суд исходил из подтверждённости требований общества «Центр-Транс» и, как следствие, наличия оснований для их удовлетворения, а также из недоказанности наличия причин для удовлетворения требований общества «Еврострой» по заявленным основаниям. Суд округа поддержал выводы апелляционного суда.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