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 договора купли-продажи от 14.04.2020, заключенного должником и обществом с ограниченной ответственностью «РНК 52»; применении последствий недействительности сделки. Определением Арбитражного суда Нижегородской области от 08.12.2020, оставленным без изменения постановлениями Первого арбитражного апелляционного суда от 09.06.2021 и Арбитражного суда Волго-Вятского округа от 22.09.2021,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61.2, 61.4, 110, 111, 139 Федерального закона от 26.10.2002 № 127-ФЗ «О несостоятельности (банкротстве)», установив обстоятельства соблюдения конкурсным управляющим должником процедуры реализации дебиторской задолженности посредством прямого заключения договора с лицом, подавшим заявку на её приобретение раньше общества, выразившего готовность приобрести актив по более высокой нежели впоследствии предложенной обществом после определения победителя цене,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