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договора о переводе долга от 29.01.2018 по генеральному договору от 09.10.2013 № 1003, заключенному между обществом с ограниченной ответственностью «Кинопром», должником и обществом с ограниченной ответственностью «Юниверсал Пикчерс Интернэшл», перечисления денежных средств должником в пользу общества «Юниверсал Пикчерс Интернэшл» по платежному поручению от 07.02.2018 №174 на сумму 2 262 000 рублей. Определением Арбитражного суда города Москвы от 15.07.2020, оставленным без изменения постановлениями Девятого арбитражного апелляционного суда от 08.05.2021 и Арбитражного суда Московского округа от 05.08.2021, в удовлетворении заявления отказано. В кассационной жалобе, поданной в Верховный Суд Российской Федерации, заявитель просят отменить названные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61.1-61.3 Федерального закона от 26.10.2002 № 127-ФЗ «О несостоятельности (банкротстве)», исходили из недоказанности наличия причин для удовлетворения требований конкурного управляющего должником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были предметом рассмотрения судов,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«Люксор Дистрибьюшн» Иванову Николаю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