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договора о переводе долга от 29.01.2018 по генеральному договору от 10.01.2013 № 0916, заключенному между обществом с ограниченной ответственностью «Кинопром», должником и обществом с ограниченной ответственностью «Юниверсал Пикчерс Интернэшл», перечисления денежных средств должником в пользу общества «Юниверсал Пикчерс Интернэшл» по платежным поручениям на общую сумму 4 680 130 рублей 17 копеек. Определением Арбитражного суда города Москвы от 15.07.2020, оставленным без изменения постановлениями Девятого арбитражного апелляционного суда от 08.05.2021 и Арбитражного суда Московского округа от 31.08.2021, в удовлетворении заявления отказано. В кассационной жалобе, поданной в Верховный Суд Российской Федерации, заявитель просят отменить названные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61.1-61.3 Федерального закона от 26.10.2002 № 127-ФЗ «О несостоятельности (банкротстве)», исходили из недоказанности наличия причин для удовлетворения требований конкурного управляющего должником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«Люксор Дистрибьюшн» Иванову Николаю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