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02.11.2020, оставленным без изменения постановлением Восемнадцатого арбитражного апелляционного суда от 08.04.2021, требование общества «Азбука» удовлетворено в части включения в третью очередь реестра требований кредиторов должника 15 575 265 рублей 33 копеек основного долга, 2 641 554 рублей 67 копеек процентов за пользование кредитом, а также отдельно учитывающихся 7 065 668 рублей 47 копеек пеней; ходатайство должника об установлении исполнительского иммунитета удовлетворено в отношении принадлежащей ему 1/2 доли в праве на жилой дом площадью 336,7 кв. м и земельные участки площадью 777 кв. м и 285,5 кв. м. Арбитражный суд Уральского округа постановлением от 26.07.2021 определение от 02.11.2020 и постановление Восемнадцатого арбитражного апелляционного суда от 08.04.2021 оставил без изменения. 2 В кассационных жалобах Ошманин Н.К. и Груднева С.С. просят отменить судебные акты в части включении требований в реестр, ссылаясь на неправильное определение размера требований к должнику как поручителю и погашение долга исполнением должником солидарного по отношению к поручительству обязательства о субсидиарной ответственности за долги основного должника, неправильное включение налоговой задолженности супруги в реестр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Суды, проверяя обоснованность заявленных для включения в реестр требований применительно к критериям статей 71, 100 Федерального закона от 26.10.2002 № 127-ФЗ «О несостоятельности (банкротстве)», исследовали и учли судебные акты, принятые в отношении должника одновременно как поручителя по долгам основного должника, так и лица, привлеченного к субсидиарной ответственности по долгам основного должника, исполнение этих обязательств в том числе перед преемниками первоначального кредитора (ПАО «Банк Уралсиб») и установили подлежащие включению в реестр требования в неисполненном размере. Налоговая задолженность включена в реестр должника как признанная совместной с супругой.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Ошманину Н.К. и Грудневой С.С.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