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28.02.2019 иск удовлетворен. Девятый арбитражный апелляционный суд постановлением от 15.08.2019, изменил решение от 28.02.2019, взыскав 225 997 433 рублей убытков и 235 000 рублей расходов на экспертизу. Арбитражный суд Московского округа постановлением от 12.11.2019 постановление Девятого арбитражного апелляционного суда от 15.08.2019 оставил без изменения. В кассационной жалобе общество «Антилед» просит об отмене судебных актов как незаконных, ссылаясь на наличие оснований для прекращения производства по делу, допущенную судами переоценку ранее установлены обстоятельств, неправильное определение стоимости утраченного имущества и необъективность проведенных по делу экспертиз.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рассмотрели и обоснованно отклонили довод заявителя о наличии основания для прекращения производства по делу применительно к статье 150 Арбитражного процессуального кодекса Российской Федерации, поскольку основания заявленных требований в настоящем деле и делах № А12-1319/2016 и № А12-4026/2017 различны. Суды признали доказанным наступление ответственности общества «Антилед» за повреждение принятого на хранение имущества по итогу исследования и оценки доказательств исполнения договора хранения от 04.10.2012 № 04-09/2012-ХР с дополнительными соглашениями, к которым правильно применили нормы статей 15 , 393 , 891 , 899 , 901 Гражданского кодекса Российской Федерации. Доводы заявителя о ненадлежащем исследовании представленных доказательств, в том числе заключений экспертиз, и несоответствии выводов судов обстоятельствам, установленным в рамках иных дел, противоречат содержанию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«Антилед»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ВОЛГОГРАДСКИЙ МАГНИЕВЫЙ ЗАВОД В ЛИЦЕ КОНКУРСНОГО УПРАВЛЯЮЩЕГО КАМЕНСКОГО А.А. (подробнее) Ответчики: ООО "Антилед"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