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спора определением Арбитражного суда Московской области от 15.07.2020, оставленным без изменения постановлением Десятого арбитражного апелляционного суда от 17.03.2021, в удовлетворении заявления отказано. Арбитражный суд Московского округа постановлением от 23.06.2021 определение от 15.07.2020 и постановление Десятого арбитражного апелляционного суда от 21.03.2021 оставил без изменения. В кассационной жалобе Мостовой В.Ф. просит отменить судебные акты, ссылаясь на неисследование обстоятельств совершения сделки.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обстоятельства совершения сделки – мирового соглашения, утвержденного судом общей юрисдикции в деле о расторжении брака, суды признали их не создающими условия, необходимые в силу статьи 61.2 Федерального закона от 26.10.2002 № 127-ФЗ «О несостоятельности (банкротстве)» для признания сделки недействительной. Приведенный довод о презюмирующей причинение вреда имущественным правам кредиторов должника неравнозначности раздела имущества мотивированно отклонен судами и не составляет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Мостовому В.Ф.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