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ноября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21.12.2020, оставленным без изменения постановлением Девятого арбитражного апелляционного суда от 17.03.2021 и постановлением Арбитражного суда Московского округа от 26.07.2021, Левицкая О.В. признана несостоятельной (банкротом), введена процедура реализации имущества, утвержден финансовый управляющий, в третью очередь реестра требований кредиторов включено требование Левицкой Марины Владимировны в размере 47 565 080 рублей 48 копеек. В кассационной жалобе Зиненко А.Г. просит отменить судебные акты, ссылаясь на аффилированность должника и заявителя как основание для отказа во включении требования в реестр или понижения очередности.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установили, что требования Левицкой М.В. основаны на вступившем в законную силу решении суда, поэтому признаны подлежащими включению в реестр в силу статей 16, 100, 142, 213.24 Федерального закона от 26.10.2002 № 127-ФЗ «О несостоятельности (банкротстве)». На невозможность понижения очередности в банкротстве физических лиц мотивированно указал окружной суд. Руководствуясь статьями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Зиненко Александру Григорьевичу для рассмотрения в судебном заседании Судебной коллегии по экономическим спорам Верховного Суда Российской Федерации отказать. Судья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