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11.01.2021, оставленным без изменения постановлением Десятого арбитражного апелляционного суда от 01.04.2021 и постановлением Арбитражного суда Московского округа от 28.07.2021, заявление должника об исключении из конкурсной массы 1/2 доли квартиры общей площадью 154,2 кв. м, расположенной по адресу: г. Москва, ул. Долгоруковская, д. 6, кв. 4, удовлетворено, в удовлетворении заявления финансового управляющего об утверждении Положения о порядке, сроках и условиях реализации имущества должника отказано. В кассационных жалобах Климентов И.С. и банк просят об отмене судебных актов, ссылаясь на злоупотребление должником правом с целью искусственного придания спорному имуществу статуса единственного 2 пригодного для постоянного проживания жилья, должные повлечь отказ в установлении исполнительского иммунитета.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злоупотребления должника в виде отчуждения имущества в преддверии банкротства явились предметом обсуждения судов при рассмотрении споров об оспаривании сделок в том числе со спорной долей в квартире, и сделки признаны недействительными. В рассматриваемом споре установлен исполнительский иммунитет на спорную долю в силу статьи 446 Гражданского процессуального кодекса Российской Федерации, статьи 213.25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Климентову Ивану Сергеевичу и публичному акционерному обществу «ТРАНСКАПИТАЛБАНК»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