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30.12.2020, оставленным без изменения постановлением Первого арбитражного апелляционного суда от 16.04.2021 и постановлением Арбитражного суда Волго-Вятского округа от 05.08.2021, первоначальный иск удовлетворен, в удовлетворении встречного иска отказано. В кассационной жалобе предприниматель просит об отмене судебных актов, ссылаясь на фактическое неоказание услуг спорный период.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договор от 01.04.2016 № 18/16 заключен с несколькими заказчиками и исполнялся ими в том числе предпринимателем с 2016 года посредством оплаты услуг без оспаривания условий и расторжения, поэтому в соответствии со статьями 432, 779, 781 Гражданского кодекса Российской Федерации признали обязанность предпринимателя оплатить услуги.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Алексееву Александру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