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12.03.2021, оставленным без изменения постановлением Семнадцатого арбитражного апелляционного суда от 10.06.2021, в удовлетворении заявления отказано. Арбитражный суд Уральского округа постановлением от 08.09.2021 определение от 12.03.2021 и постановление апелляционного суда от 10.06.2021 оставил без изменения. В кассационной жалобе Лапкина Т.И. просит об отмене судебных актов, ссылаясь на игнорирование преюдиции и нарушения в исследовании и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 судов о недоказанности расходования полученной от кредитора суммы на нужды семьи основан на обстоятельствах, установленных в рассматриваемом споре, в деле о банкротстве партнера должника по бизнесу и соответствует статье 45 Семейного кодекса Российской Федерации, статьям 213.8, 213.19, 213.24, 213.26 Федерального закона от 26.10.2002 № 127-ФЗ «О несостоятельности (банкротстве)» и судебной практике.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Лапкиной Т.И.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