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Московской области от 30.03.2021, оставленным без изменения постановлением Десятого арбитражного апелляционного суда от 01.06.2021 и постановлением Арбитражного суда Московского округа от 18.08.2021, заявление удовлетворено. В кассационной жалобе общество просит об отмене судебных актов, ссылаясь на искусственное придание спорному имуществу исполнительского иммунитета и невыяснение имущественного статуса членов семьи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судами обстоятельств следует, что в качестве последствий злоупотребления должника при отчуждении имущества, в частности спорной квартиры, совершенная с ней сделка признана недействительной с возвратом квартиры в конкурсную массу. В пределах рассматриваемого спора судами установлено наличие у квартиры исполнительского иммунитета, что в силу статьи 446 Гражданского процессуального кодекса Российской Федерации и статьи 213.25 Федерального закона от 26.10.2002 № 127-ФЗ «О несостоятельности (банкротстве)» влечет исключение ее из конкурсной массы.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«Риетуму Банка»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