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04.03.2021, оставленными без изменения постановлением Тринадцатого арбитражного апелляционного суда от 17.05.2021 и постановлением Арбитражного суда Северо-Западного округа от 29.07.2021, в удовлетворении заявления о пересмотре судебного акта по вновь открывшимся обстоятельствам отказано. В кассационной жалобе Мухтаров А.В. просит об отмене судебных актов, ссылаясь на нарушение прав изменением процессуального статуса, о котором он не знал в период установления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Установленная после принятия заявленного к пересмотру определения от 10.12.2018 общность обязательства супругов не зависит от осведомленности о ней заявителя, поэтому принятие определения от 11.02.2020 о признании обязательств таковыми не влияет на судьбу требования кредитора и не обладает признаками предусмотренного пунктом 1 части 2 статьи 311 Арбитражного процессуального кодекса Российской Федерации обстоятельства для пересмотра судебного акта о включении требования в реестр.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Мухтарову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