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01.12.2020, оставленным без изменения постановлением Девятого арбитражного апелляционного суда от 10.03.2021 и постановлением Арбитражного суда Московского округа от 26.07.2021, заявление удовлетворено частично. В кассационной жалобе Скворцов А.Д. просит о пересмотре судебных актов, ссылаясь на игнорирование проведения торгов в соответствии утвержденным судом Положением и обязанности несения расходов должником.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исходили из стимулирующего, премиального характера процентной части вознаграждения, могущей быть уменьшенной по результату деятельности финансового управляющего, оцененному как ненадлежащему применительно к критериям статьи 20.3 Федерального закона от 26.10.2002 № 127-ФЗ «О несостоятельности (банкротстве)», не приведшему к выгодной продаже имущества должника и погашению текущих требований. Арифметические ошибки в расчетах, на которые ссылается заявитель, исправляются в ином процессуальном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Скворцову Андрею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