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11.03.2021 в третью очередь реестра включено требование общества в размере 31 352 757 рублей 74 копеек. Семнадцатый арбитражный апелляционный суд постановлением от 20.05.2021, отменив определение от 11.03.2021, признал обоснованным требование общества в размере 31 352 757 рублей 74 копеек с удовлетворением за счет имущества должника, оставшегося после погашения требований кредиторов, включенных в реестр. Арбитражный суд Уральского округа постановлением от 26.07.2021 отменил постановление апелляционного суда от 20.05.2021, оставив в силе определение от 11.03.2021. В кассационной жалобе общество просит об отмене постановления окружного суда вследствие превышения полномочий при восстановлении срока на подачу заявления о включении в реестр.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в пределах имеющихся в силу статей 286-288 Арбитражного процессуального кодекса Российской Федерации полномочий оставил в силе определение суда первой инстанции, которому подано ходатайство о восстановлении срока, удовлетворенное им посредством рассмотрения заявления по существу.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Никифорову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