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Приморского края от 11.12.2020, оставленным без изменения постановлением Пятого арбитражного апелляционного суда от 17.05.2021 и постановлением Арбитражного суда Дальневосточного округа от 29.07.2021, заявление удовлетворено частично. В кассационной жалобе кредиторы просят об отмене судебных актов, ссылаясь на игнорирование кабальности сделки и отсутствия воли на безвозмездную передачу земельного участка.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Учитывая применяемые при банкротстве критерии к подлежащим установлению требованиям суды в соответствии со статьями 71, 100 Федерального закона от 26.10.2002 № 127-ФЗ «О несостоятельности (банкротстве)» и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признали подтвержденными в целях включения в реестр требования, установленные решением суда общей юрисдикции. Иная оценка заявителями основания возникновения требования и его размера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гражданам Феничеву Анатолию Львовичу, Феничевой Раисе Андреевне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