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24.01.2021, оставленным без изменения постановлением Тринадцатого арбитражного апелляционного суда от 19.04.2021 и постановлением Арбитражного суда Северо-Западного округа от 16.08.2021, требование Пацкана М.Ю. в размере 350 000 рублей основного долга и 40 496 рублей 92 копеек процентов включено в реестр требований кредиторов должника. В кассационной жалобе финансовый управляющий просит об отмене судебных актов, ссылаясь непринятие мер по проверке заявления о фальсификации расписки и довода о мнимости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обоснованность требования кредитора, фальсификацию расписки, опровергнутую заключением назначенной экспертизы, финансовую состоятельность кредитора и в итоге удовлетворили его заявление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Рогулину К.С.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