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26.03.2021, оставленным без изменения постановлением Седьмого арбитражного апелляционного суда от 27.05.2021, в третью очередь реестра требований кредиторов должника включено требование Степанова Д.Г. в размере 20 409 691 рубля 33 копеек основного долга, 2 288 122 рублей 11 копеек процентов, 9 472 761 рубля 47 копеек пеней. Арбитражный суд Западно-Сибирского округа постановлением от 26.07.2021 определение от 26.03.2021 и постановление апелляционного суда от 27.05.2021 оставил без изменения. В кассационной жалобе общество «Инвест Плюс» просит об отмене судебных актов, ссылаясь на отсутствие у заявителя права требования долга с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является поручителем перед банком «Левобережный» за исполнение кредитных обязательств обществом «НСК «Девелопмент», в деле о банкротстве которого установлено требование по основному долгу и процентам. В связи с возвратом банком полученных от основного должника платежей в качестве последствия их недействительности задолженность перед банком восстановлена. Являясь поручителем общества «НСК «Девелопмент», должник отвечает по его обязательствам в силу статьи 363 Гражданского кодекса Российской Федерации и несет установленную поручительством собственную ответственность за неисполнение поручительства в суммах, включенных в реестр должника по заявлению правопреемника банка.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