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Свердловской области от 12.03.2021, оставленным без изменения постановлением Семнадцатого арбитражного апелляционного суда от 25.05.2021 и постановлением Арбитражного суда Уральского округа от 27.07.2021, заявление удовлетворено. В кассационной жалобе Торопова Е.В. просит об отмене судебных актов, ссылаясь на отсутствие условий для недействительности сделок в силу общих норм гражданского законодательства.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Заключение сделок, изменяющих статус имущества, при наличии чрезмерных денежных обязательств подконтрольных лиц, неисполнение которых после совершения сделок привело к банкротству должника, в силу статьи 10 Гражданского кодекса Российской Федерации и компетенции суда на ее применение признано нарушающим пределы осуществления гражданских прав и влекущим согласно 168 Гражданского кодекса Российской Федерации недействительность сделок. Доводы рассматриваемой кассационной жалобы были предметом рассмотрения и оценки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Тороповой Екатерине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