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Волгодонск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18.03.2021, оставленным без изменения постановлениями Пятнадцатого арбитражного апелляционного суда от 31.05.2021 и Арбитражного суда Северо-Кавказского округа от 14.08.2021, иск предприятия удовлетворен. 2 В кассационной жалобе, поданной в Верховный Суд Российской Федерации, министерство ставит вопрос об отмене принятых по делу судебных актов, ссылаясь на существенное нарушение судами норм материального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предприятие осуществляет деятельность по перевозке пассажиров автобусами по маршрутам в городском сообщении на платной основе в городе Волгодонске. На основании договоров от 12.01.2018 № 3 и от 16.01.2019 № 3, заключенных с департаментом, предприятие предоставляло в 2018 – 2019 годах услуги по перевозке льготных категорий граждан на городском пассажирском транспорте общего пользования, а департамент возмещал предприятию расходы за предоставленные меры социальной поддержки. Полагая, что расходы, связанные с предоставлением предприятием бесплатного проезда на городском пассажирском транспорте льготных категорий граждан, включенных в федеральный регистр льготников, возмещены не в полном объеме, предприятие обратилось в арбитражный суд с настоящим иском.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статей 15, 790, 1069, 1071 Гражданского кодекса Российской Федерации, постановлением Правительства Ростовской области от 15.12.2011 № 232 «О расходовании средств областного бюджета на предоставление гражданам в целях оказания социальной поддержки субсидий на оплату жилых помещений и коммунальных услуг, материальной и иной помощи для погребения, мер социальной поддержки в соответствии с отдельными нормативными правовыми актами социальной направленности, а также об условиях и порядке их предоставления», суды пришли к выводу о том, что убытки, возникшие у истца в связи с предоставлением льгот по перевозке в общественном пассажирском транспорте отдельным категориям граждан, в отношении которых оказываются меры социальной поддержки, подлежат возмещению за счет казны субъекта Российской Федерации. 3 Доводы, изложенные в жалобе,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финансов Ростовской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