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22.03.2021, оставленным без изменения постановлением Девятого арбитражного апелляционного суда от 21.06.2021 и постановлением Арбитражного суда Московского округа от 02.09.2021, финансовому управляющему предписано перечислить денежные средства, вырученные от реализации имущества должника, на погашение задолженности перед кредиторами. В кассационной жалобе Гитлевич С.А. просит о пересмотре судебных актов, указывая, что согласие на отчуждение имущества не тождественно отказу от права собственности на него.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предоставлении супругу согласия на отчуждение имущества на любых условиях, у Гитлевич С.А. отсутствовало основание для оспаривания сделки, прекратившей право ее собственности на имущество. Сделка по отчуждению имущества оспорена по основанию, предусмотренному Федеральным законом от 26.10.2002 № 127-ФЗ «О несостоятельности (банкротстве)» о банкротстве, поэтому разногласия в отношении распределения имущества разрешены в соответствии нормами этого Закона.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Гитлевич Светлане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